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RO</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ANEXA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„ANEXA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PARTEA II: INSTRUCȚIUNI AFERENTE FORMULARELOR</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SOLVABILITATEA LA NIVEL DE GRUP: INFORMAȚII PRIVIND ENTITĂȚILE ASOCIATE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Observații generale</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Formularele C 06.01 și C 06.02 se raportează dacă cerințele de fonduri proprii sunt calculate pe bază consolidată. Formularul C 06.02 cuprinde patru părți destinate colectării de informații diverse privind toate entitățile individuale (inclusiv instituția raportoare) incluse în perimetrul de consolidare.</w:t>
      </w:r>
    </w:p>
    <w:p w14:paraId="427E4E34" w14:textId="12EC7809" w:rsidR="00173F08" w:rsidRPr="002A677E" w:rsidRDefault="00173F08" w:rsidP="00173F08">
      <w:pPr>
        <w:pStyle w:val="InstructionsText2"/>
        <w:numPr>
          <w:ilvl w:val="0"/>
          <w:numId w:val="0"/>
        </w:numPr>
        <w:ind w:left="993"/>
      </w:pPr>
      <w:r>
        <w:t>(a)</w:t>
      </w:r>
      <w:r>
        <w:tab/>
      </w:r>
      <w:r w:rsidR="00772D82">
        <w:t>e</w:t>
      </w:r>
      <w:r>
        <w:t>ntități aflate în perimetrul de consolidare;</w:t>
      </w:r>
    </w:p>
    <w:p w14:paraId="028B029B" w14:textId="7C5C8FEB" w:rsidR="00173F08" w:rsidRPr="002A677E" w:rsidRDefault="00173F08" w:rsidP="00173F08">
      <w:pPr>
        <w:pStyle w:val="InstructionsText2"/>
        <w:numPr>
          <w:ilvl w:val="0"/>
          <w:numId w:val="0"/>
        </w:numPr>
        <w:ind w:left="993"/>
      </w:pPr>
      <w:r>
        <w:t>(b)</w:t>
      </w:r>
      <w:r>
        <w:tab/>
      </w:r>
      <w:r w:rsidR="00772D82">
        <w:t>i</w:t>
      </w:r>
      <w:r>
        <w:t>nformații detaliate privind solvabilitatea la nivel de grup;</w:t>
      </w:r>
    </w:p>
    <w:p w14:paraId="29EF9308" w14:textId="4F215A5F" w:rsidR="00173F08" w:rsidRPr="002A677E" w:rsidRDefault="00173F08" w:rsidP="00173F08">
      <w:pPr>
        <w:pStyle w:val="InstructionsText2"/>
        <w:numPr>
          <w:ilvl w:val="0"/>
          <w:numId w:val="0"/>
        </w:numPr>
        <w:ind w:left="993"/>
      </w:pPr>
      <w:r>
        <w:t>(c)</w:t>
      </w:r>
      <w:r>
        <w:tab/>
      </w:r>
      <w:r w:rsidR="00772D82">
        <w:t>i</w:t>
      </w:r>
      <w:r>
        <w:t>nformații privind contribuția entităților individuale la solvabilitatea la nivel de grup;</w:t>
      </w:r>
    </w:p>
    <w:p w14:paraId="66E85F84" w14:textId="67F9BBE6" w:rsidR="00173F08" w:rsidRPr="002A677E" w:rsidRDefault="00173F08" w:rsidP="00173F08">
      <w:pPr>
        <w:pStyle w:val="InstructionsText2"/>
        <w:numPr>
          <w:ilvl w:val="0"/>
          <w:numId w:val="0"/>
        </w:numPr>
        <w:ind w:left="993"/>
      </w:pPr>
      <w:r>
        <w:t>(d)</w:t>
      </w:r>
      <w:r>
        <w:tab/>
      </w:r>
      <w:r w:rsidR="00772D82">
        <w:t>i</w:t>
      </w:r>
      <w:r>
        <w:t>nformații privind amortizoarele de capital</w:t>
      </w:r>
      <w:r w:rsidR="00772D82">
        <w:t>.</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Instituțiile care au obținut o derogare în conformitate cu articolul 7 din Regulamentul (UE) nr. 575/2013 raportează numai coloanele 0010-0065 și 0250-0400.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Cifrele raportate țin seama de toate dispozițiile tranzitorii prevăzute în Regulamentul (UE) nr. 575/2013 care sunt aplicabile la data de raportare respectivă.</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Informații detaliate privind solvabilitatea la nivel de grup</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Cea de a doua parte a formularului C 06.02 (informații detaliate privind solvabilitatea la nivel de grup), coloanele 0070-0240, este concepută pentru a aduna informații privind instituțiile de credit și alte instituții financiare reglementate care sunt supuse efectiv anumitor cerințe de solvabilitate pe bază individuală. Aceasta prevede, pentru fiecare dintre entitățile care fac obiectul raportării, cerințele de fonduri proprii pentru fiecare categorie de risc și fondurile proprii în scopuri de solvabilitate.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În cazul consolidării proporționale a participațiilor, cifrele referitoare la cerințele de fonduri proprii și la fondurile proprii trebuie să reflecte respectivele cuantumuri proporționale.</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Pr>
          <w:rFonts w:ascii="Times New Roman" w:hAnsi="Times New Roman"/>
          <w:sz w:val="24"/>
          <w:u w:val="none"/>
        </w:rPr>
        <w:tab/>
      </w:r>
      <w:r>
        <w:rPr>
          <w:rFonts w:ascii="Times New Roman" w:hAnsi="Times New Roman"/>
          <w:sz w:val="24"/>
        </w:rPr>
        <w:t>Informații privind contribuțiile entităților individuale la solvabilitatea la nivel de grup</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Obiectivul celei de a treia părți a formularului C 06.02 și al formularului C 06.01 [informații privind contribuția la solvabilitatea la nivel de grup a tuturor entităților care intră sub incidența perimetrului de consolidare al Regulamentului (UE) nr. 575/2013, inclusiv contribuția celor care nu fac obiectul anumitor cerințe de solvabilitate pe bază individuală], coloanele 0250-0400, constă în identificarea acelor entități din cadrul grupului care generează riscuri și mobilizează fonduri proprii de pe piață, pe baza datelor care sunt imediat disponibile sau care pot fi ușor reprelucrate, fără a fi nevoie să se reconstituie rata fondurilor proprii pe bază individuală sau subconsolidată. La nivel de entitate, atât cifrele privind riscul, cât și cifrele privind fondurile proprii reprezintă contribuții la cifrele grupului și nu elemente ale ratei de solvabilitate pe bază individuală și, ca atare, nu trebuie să fie comparate între ele.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Cea de a treia parte include, de asemenea, cuantumurile intereselor minoritare, ale fondurilor proprii de nivel 1 suplimentar eligibile și ale fondurilor proprii de nivel 2 eligibile în fondurile proprii consolidate.</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Deoarece cea de a treia parte a formularului se referă la «contribuții», cifrele care trebuie raportate aici diferă, dacă este cazul, de cifrele raportate în coloanele referitoare la informațiile detaliate privind solvabilitatea la nivel de grup.</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Principiul este acela de a elimina expunerile reciproce în cadrul aceluiași grup în mod omogen, atât la nivelul riscurilor, cât și al fondurilor proprii, pentru a acoperi cuantumurile raportate în formularul CA consolidat al grupului, prin adăugarea cuantumurilor raportate pentru fiecare entitate în formularul «Solvabilitatea la nivel de grup». Nu este posibilă o legătură directă către formularul CA atunci când pragul de 1 % nu este depășit.</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Instituțiile definesc cea mai adecvată metodă de defalcare între entități pentru a lua în considerare posibilele efecte ale diversificării pentru riscul de piață și riscul operațional.</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Un grup consolidat poate fi inclus în cadrul altui grup consolidat. Acest lucru înseamnă că entitățile din cadrul unui subgrup se înscriu, entitate cu entitate, în formularul GS al întregului grup, chiar dacă subgrupul ca atare este supus cerințelor de raportare. Un subgrup care este supus cerințelor de raportare trebuie să raporteze, de asemenea, formularul GS pentru fiecare entitate, deși informațiile respective sunt incluse în formularul GS al unui grup consolidat mai extins.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O instituție trebuie să raporteze date privind contribuția unei entități atunci când contribuția acesteia la cuantumul total al expunerii la risc depășește 1 % din cuantumul total al expunerii la risc a grupului sau atunci când contribuția sa la fondurile proprii totale depășește 1 % din fondurile proprii totale ale grupului. Pragul respectiv nu se aplică în cazul filialelor sau subgrupurilor care pun la dispoziția grupului fonduri proprii (sub formă de interese minoritare sau instrumente de fonduri proprii de nivel 1 suplimentar sau de nivel 2 eligibile incluse în fondurile proprii).</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SOLVABILITATEA LA NIVEL DE GRUP: INFORMAȚII PRIVIND ENTITĂȚILE ASOCIATE – Total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EF4006">
            <w:pPr>
              <w:pageBreakBefore/>
              <w:rPr>
                <w:rStyle w:val="InstructionsTabelleText"/>
                <w:rFonts w:ascii="Times New Roman" w:hAnsi="Times New Roman"/>
                <w:sz w:val="24"/>
              </w:rPr>
            </w:pPr>
            <w:r>
              <w:rPr>
                <w:rStyle w:val="InstructionsTabelleText"/>
                <w:rFonts w:ascii="Times New Roman" w:hAnsi="Times New Roman"/>
                <w:sz w:val="24"/>
              </w:rPr>
              <w:lastRenderedPageBreak/>
              <w:t>Coloane</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Instrucțiuni</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ENTITĂȚI AFLATE ÎN PERIMETRUL DE CONSOLIDARE</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A se vedea instrucțiunile pentru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AMORTIZOARE DE CAPITAL</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 se vedea instrucțiunile pentru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Rânduri</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Instrucțiuni</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TOTAL</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Totalul reprezintă suma valorilor raportate pe toate rândurile formularului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SOLVABILITATEA LA NIVEL DE GRUP: INFORMAȚII PRIVIND ENTITĂȚILE ASOCIATE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Coloane</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Instrucțiuni</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ENTITĂȚI AFLATE ÎN PERIMETRUL DE CONSOLIDARE</w:t>
            </w:r>
          </w:p>
          <w:p w14:paraId="6B6FD15E"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 xml:space="preserve">Acest formular este destinat colectării de informații privind fiecare entitate în parte care se află în perimetrul de consolidare în conformitate cu </w:t>
            </w:r>
            <w:r>
              <w:rPr>
                <w:rFonts w:ascii="Times New Roman" w:hAnsi="Times New Roman"/>
                <w:sz w:val="24"/>
              </w:rPr>
              <w:t>partea întâi titlul II capitolul 2 din Regulamentul (UE) nr. 575/2013</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DENUMIRE</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Denumirea entității aflate în perimetrul de consolidare.</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COD</w:t>
            </w:r>
          </w:p>
          <w:p w14:paraId="099B8601" w14:textId="77777777" w:rsidR="00173F08" w:rsidRPr="002A677E" w:rsidRDefault="00173F08" w:rsidP="00822842">
            <w:pPr>
              <w:pStyle w:val="InstructionsText"/>
              <w:rPr>
                <w:rStyle w:val="InstructionsTabelleText"/>
              </w:rPr>
            </w:pPr>
            <w:r>
              <w:rPr>
                <w:rStyle w:val="InstructionsTabelleText"/>
              </w:rPr>
              <w:t>Codul inclus în numărul de identificare a rândului trebuie să fie unic pentru fiecare entitate raportată. Pentru instituții și întreprinderi de asigurare, codul care trebuie utilizat este codul LEI. Pentru alte entități, codul care trebuie utilizat este codul LEI sau, dacă acesta nu este disponibil, un cod național. Codul trebuie să fie unic și trebuie utilizat în mod consecvent în toate formularele și de-a lungul timpului. Valoarea codului nu poate fi nulă.</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TIPUL DE COD</w:t>
            </w:r>
          </w:p>
          <w:p w14:paraId="094070A5" w14:textId="29DFFC82"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Instituțiile identifică tipul de cod raportat</w:t>
            </w:r>
            <w:r w:rsidR="00EF4006">
              <w:rPr>
                <w:rFonts w:ascii="Times New Roman" w:hAnsi="Times New Roman"/>
                <w:sz w:val="24"/>
              </w:rPr>
              <w:t xml:space="preserve"> </w:t>
            </w:r>
            <w:r>
              <w:rPr>
                <w:rStyle w:val="FormatvorlageInstructionsTabelleText"/>
                <w:rFonts w:ascii="Times New Roman" w:hAnsi="Times New Roman"/>
                <w:sz w:val="24"/>
              </w:rPr>
              <w:t>în coloana 0021, indicând «Codul LEI» sau «Alt cod decât codul LEI». Se raportează întotdeauna tipul de cod.</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CODUL NAȚIONAL</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În plus, instituțiile pot raporta codul național atunci când raportează codul LEI ca identificator în coloana «Cod».</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INSTITUȚIE SAU ORGANISM ECHIVALENT (DA/NU)</w:t>
            </w:r>
          </w:p>
          <w:p w14:paraId="592DC0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 xml:space="preserve">Se înscrie «DA» în cazul în care entitatea este supusă cerințelor de fonduri proprii în temeiul </w:t>
            </w:r>
            <w:r>
              <w:rPr>
                <w:rFonts w:ascii="Times New Roman" w:hAnsi="Times New Roman"/>
                <w:sz w:val="24"/>
              </w:rPr>
              <w:t xml:space="preserve">Regulamentului (UE) nr. 575/2013 </w:t>
            </w:r>
            <w:r>
              <w:rPr>
                <w:rStyle w:val="InstructionsTabelleText"/>
                <w:rFonts w:ascii="Times New Roman" w:hAnsi="Times New Roman"/>
                <w:sz w:val="24"/>
              </w:rPr>
              <w:t>și al</w:t>
            </w:r>
            <w:r>
              <w:rPr>
                <w:rFonts w:ascii="Times New Roman" w:hAnsi="Times New Roman"/>
                <w:sz w:val="24"/>
              </w:rPr>
              <w:t xml:space="preserve"> Directivei 2013/36/UE</w:t>
            </w:r>
            <w:r>
              <w:rPr>
                <w:rStyle w:val="InstructionsTabelleText"/>
                <w:rFonts w:ascii="Times New Roman" w:hAnsi="Times New Roman"/>
                <w:sz w:val="24"/>
              </w:rPr>
              <w:t xml:space="preserve"> sau al unor dispoziții cel puțin echivalente cu dispozițiile Basel.</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În caz contrar, se înscrie «NU».</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Interese minoritare:</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Articolul 81 alineatul (1) litera (a) punctul (ii) și articolul 82 alineatul (1) litera (a) punctul (ii) din Regulamentul (UE) nr.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În ceea ce privește interesele minoritare și instrumentele de fonduri proprii de nivel 1 suplimentar și de nivel 2 emise de filiale, filialele ale căror instrumente pot fi eligibile sunt instituțiile sau întreprinderile care fac obiectul cerințelor Regulamentul (UE) nr. 575/2013 în virtutea legislației naționale aplicabile.</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TIPUL DE ENTITATE</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Tipul de entitate se raportează în baza următoarelor categorii:</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instituție de credit</w:t>
            </w:r>
          </w:p>
          <w:p w14:paraId="665499B6"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t xml:space="preserve">Articolul 4 alineatul (1) punctul 1 </w:t>
            </w:r>
            <w:r>
              <w:rPr>
                <w:rFonts w:ascii="Times New Roman" w:hAnsi="Times New Roman"/>
                <w:sz w:val="24"/>
              </w:rPr>
              <w:t>din Regulamentul (UE) nr. 575/2013</w:t>
            </w:r>
            <w:r>
              <w:rPr>
                <w:rStyle w:val="InstructionsTabelleText"/>
                <w:rFonts w:ascii="Times New Roman" w:hAnsi="Times New Roman"/>
                <w:sz w:val="24"/>
              </w:rPr>
              <w:t>;</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firmă de investiții</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Articolul 4 alineatul (1) punctul 2 </w:t>
            </w:r>
            <w:r>
              <w:rPr>
                <w:rFonts w:ascii="Times New Roman" w:hAnsi="Times New Roman"/>
                <w:sz w:val="24"/>
              </w:rPr>
              <w:t>din Regulamentul (UE) nr. 575/2013</w:t>
            </w:r>
            <w:r>
              <w:rPr>
                <w:rStyle w:val="InstructionsTabelleText"/>
                <w:rFonts w:ascii="Times New Roman" w:hAnsi="Times New Roman"/>
                <w:sz w:val="24"/>
              </w:rPr>
              <w:t>;</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instituție financiară (alta)</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Articolul 4 alineatul (1) punctele 20, 21 și 26 </w:t>
            </w:r>
            <w:r>
              <w:rPr>
                <w:rFonts w:ascii="Times New Roman" w:hAnsi="Times New Roman"/>
                <w:sz w:val="24"/>
              </w:rPr>
              <w:t>din Regulamentul (UE) nr.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t xml:space="preserve">Instituții financiare în sensul articolului 4 alineatul (1) punctul 26 </w:t>
            </w:r>
            <w:r>
              <w:rPr>
                <w:rFonts w:ascii="Times New Roman" w:hAnsi="Times New Roman"/>
                <w:sz w:val="24"/>
              </w:rPr>
              <w:t xml:space="preserve">din Regulamentul (UE) nr. 575/2013 </w:t>
            </w:r>
            <w:r>
              <w:rPr>
                <w:rStyle w:val="InstructionsTabelleText"/>
                <w:rFonts w:ascii="Times New Roman" w:hAnsi="Times New Roman"/>
                <w:sz w:val="24"/>
              </w:rPr>
              <w:t>care nu intră în niciuna dintre categoriile enumerate la litera (d), (e) sau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societate financiară holding (mixtă)</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Articolul 4 alineatul (1) punctele 20 și 21 </w:t>
            </w:r>
            <w:r>
              <w:rPr>
                <w:rFonts w:ascii="Times New Roman" w:hAnsi="Times New Roman"/>
                <w:sz w:val="24"/>
              </w:rPr>
              <w:t>din Regulamentul (UE) nr. 575/2013</w:t>
            </w:r>
            <w:r>
              <w:rPr>
                <w:rStyle w:val="InstructionsTabelleText"/>
                <w:rFonts w:ascii="Times New Roman" w:hAnsi="Times New Roman"/>
                <w:sz w:val="24"/>
              </w:rPr>
              <w:t>;</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întreprindere prestatoare de servicii auxiliare</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Articolul 4 alineatul (1) punctul 18 </w:t>
            </w:r>
            <w:r>
              <w:rPr>
                <w:rFonts w:ascii="Times New Roman" w:hAnsi="Times New Roman"/>
                <w:sz w:val="24"/>
              </w:rPr>
              <w:t>din Regulamentul (UE) nr. 575/2013</w:t>
            </w:r>
            <w:r>
              <w:rPr>
                <w:rStyle w:val="InstructionsTabelleText"/>
                <w:rFonts w:ascii="Times New Roman" w:hAnsi="Times New Roman"/>
                <w:sz w:val="24"/>
              </w:rPr>
              <w:t>;</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entitate special constituită în scopul securitizării (SSPE)</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Articolul 4 alineatul (1) punctul 66 </w:t>
            </w:r>
            <w:r>
              <w:rPr>
                <w:rFonts w:ascii="Times New Roman" w:hAnsi="Times New Roman"/>
                <w:sz w:val="24"/>
              </w:rPr>
              <w:t>din Regulamentul (UE) nr. 575/2013</w:t>
            </w:r>
            <w:r>
              <w:rPr>
                <w:rStyle w:val="InstructionsTabelleText"/>
                <w:rFonts w:ascii="Times New Roman" w:hAnsi="Times New Roman"/>
                <w:sz w:val="24"/>
              </w:rPr>
              <w:t>;</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societate care emite obligațiuni garantate</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Entitate instituită pentru a emite obligațiuni garantate sau pentru a deține garanții reale de garantare a unei obligațiuni garantate, dacă nu intră în niciuna dintre categoriile de la literele (a), (b) sau (d)-(f) de mai sus;</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alt tip de entitate</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Altă entitate decât cele menționate la literele (a)-(g).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 xml:space="preserve">În cazul în care o entitate nu face obiectul </w:t>
            </w:r>
            <w:r>
              <w:rPr>
                <w:rFonts w:ascii="Times New Roman" w:hAnsi="Times New Roman"/>
                <w:sz w:val="24"/>
              </w:rPr>
              <w:t xml:space="preserve">Regulamentului (UE) nr. 575/2013 </w:t>
            </w:r>
            <w:r>
              <w:rPr>
                <w:rStyle w:val="InstructionsTabelleberschrift"/>
                <w:rFonts w:ascii="Times New Roman" w:hAnsi="Times New Roman"/>
                <w:sz w:val="24"/>
              </w:rPr>
              <w:t xml:space="preserve">și al </w:t>
            </w:r>
            <w:r>
              <w:rPr>
                <w:rFonts w:ascii="Times New Roman" w:hAnsi="Times New Roman"/>
                <w:sz w:val="24"/>
              </w:rPr>
              <w:t>Directivei 2013/36/UE</w:t>
            </w:r>
            <w:r>
              <w:rPr>
                <w:rStyle w:val="InstructionsTabelleberschrift"/>
                <w:rFonts w:ascii="Times New Roman" w:hAnsi="Times New Roman"/>
                <w:sz w:val="24"/>
              </w:rPr>
              <w:t>, dar face obiectul unor dispoziții cel puțin echivalente cu dispozițiile Basel, categoria relevantă se stabilește cu maxima diligență posibilă.</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CONȚINUTUL DATELOR: </w:t>
            </w:r>
            <w:r>
              <w:rPr>
                <w:rFonts w:ascii="Times New Roman" w:hAnsi="Times New Roman"/>
                <w:b/>
                <w:caps/>
                <w:sz w:val="24"/>
                <w:u w:val="single"/>
              </w:rPr>
              <w:t>date individuale consolidate prin metoda consolidării globale (SF) SAU date individuale consolidate prin metoda consolidării parțiale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«SF»</w:t>
            </w:r>
            <w:r>
              <w:rPr>
                <w:rFonts w:ascii="Times New Roman" w:hAnsi="Times New Roman"/>
                <w:sz w:val="24"/>
              </w:rPr>
              <w:t xml:space="preserve"> se raportează pentru fiecare filială consolidată prin metoda consolidării globale.</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se raportează pentru fiecare filială consolidată prin metoda consolidării parțiale.</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CODUL ȚĂRII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Instituțiile raportează codul de țară format din două litere menționat în ISO 3166-1 alfa-2.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PROCENTAJUL DEȚINERII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Acest procentaj se referă la cota efectivă din capital deținut de întreprinderea-mamă în filialele sale. În cazul consolidării globale a unei filiale directe, procentajul efectiv este, de exemplu, de 70 %. În conformitate cu articolul 4 alineatul (1) punctul 16 </w:t>
            </w:r>
            <w:r>
              <w:rPr>
                <w:rFonts w:ascii="Times New Roman" w:hAnsi="Times New Roman"/>
                <w:sz w:val="24"/>
              </w:rPr>
              <w:t>din Regulamentul (UE) nr. 575/2013</w:t>
            </w:r>
            <w:r>
              <w:rPr>
                <w:rStyle w:val="InstructionsTabelleText"/>
                <w:rFonts w:ascii="Times New Roman" w:hAnsi="Times New Roman"/>
                <w:sz w:val="24"/>
              </w:rPr>
              <w:t>, procentajul participației unei filiale care trebuie raportat rezultă din înmulțirea procentajelor filialelor în cauză.</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GRUP DE COMPENSARE</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«Grup de compensare» înseamnă oricare dintre următoarele:</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un grup de entități căruia autoritatea competentă i-a acordat aprobarea de a folosi poziții dintr-o instituție sau o întreprindere din grupul respectiv pentru a compensa poziții dintr-o altă instituție sau întreprindere din grupul respectiv în conformitate cu articolul 325b din Regulamentul (UE) nr. 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orice entitate individuală ale cărei poziții nu pot fi compensate cu pozițiile niciunei alte entități din același grup care face obiectul supravegherii consolidate în conformitate cu Directiva 2013/36/UE, deoarece autoritatea competentă nu a acordat aprobarea în conformitate cu articolul 325b din regulamentul respectiv.</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Instituțiile indică grupul de compensare căruia îi aparține fiecare entitate enumerată în formular, dacă îndeplinesc următoarele două condiții:</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calculează cerințele de fonduri proprii pentru operațiunile lor care prezintă un risc de piață în conformitate cu partea a treia titlul IV capitolul 1a sau 1b sau ambele din Regulamentul (UE) nr. 575/2013 sau fac obiectul obligației de a raporta informații cu privire la respectivele cerințe de fonduri proprii în conformitate cu articolul 430 alineatul (2a) sau (2b) din regulamentul respectiv;</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grupul care face obiectul supravegherii pe bază consolidată în conformitate cu Directiva 2013/36/UE cuprinde cel puțin două grupuri de compensare.</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Valorile raportate în această coloană trebuie să fie «Grupul de compensare 1», «Grupul de compensare 2» etc. Punerea în corespondență indicată între entitățile juridice și grupurile de compensare trebuie să fie consecventă în timp, consecventă între rapoartele aceluiași grup care face obiectul supravegherii pe bază consolidată și coerentă cu identificarea grupurilor de compensare din formularele incluse în </w:t>
            </w:r>
            <w:r>
              <w:rPr>
                <w:rStyle w:val="InstructionsTabelleText"/>
                <w:rFonts w:ascii="Times New Roman" w:hAnsi="Times New Roman"/>
                <w:sz w:val="24"/>
                <w:highlight w:val="yellow"/>
              </w:rPr>
              <w:t>[anexa I la Regulamentul (UE)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În cazul în care instituția îndeplinește condiția (a) precizată mai sus, dar grupul supus supravegherii pe bază consolidată în conformitate cu Directiva 2013/36/UE cuprinde un </w:t>
            </w:r>
            <w:r>
              <w:rPr>
                <w:rStyle w:val="InstructionsTabelleText"/>
                <w:rFonts w:ascii="Times New Roman" w:hAnsi="Times New Roman"/>
                <w:sz w:val="24"/>
              </w:rPr>
              <w:lastRenderedPageBreak/>
              <w:t>singur grup de compensare, instituțiile indică «Un singur grup de compensare» pe rândul corespunzător societății-mamă a grupului care face obiectul raportării în acest formular.</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INFORMAȚII PRIVIND ENTITĂȚILE CARE SUNT SUPUSE CERINȚELOR DE FONDURI PROPRII</w:t>
            </w:r>
          </w:p>
          <w:p w14:paraId="5193F4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În secțiunea informațiilor detaliate (și anume coloanele 0070-0240) se colectează doar informații despre acele entități și subgrupuri care, aflându-se în perimetrul de consolidare [</w:t>
            </w:r>
            <w:r>
              <w:rPr>
                <w:rFonts w:ascii="Times New Roman" w:hAnsi="Times New Roman"/>
                <w:sz w:val="24"/>
              </w:rPr>
              <w:t>partea întâi titlul II capitolul 2 din Regulamentul (UE) nr. 575/2013</w:t>
            </w:r>
            <w:r>
              <w:rPr>
                <w:rStyle w:val="InstructionsTabelleText"/>
                <w:rFonts w:ascii="Times New Roman" w:hAnsi="Times New Roman"/>
                <w:sz w:val="24"/>
              </w:rPr>
              <w:t xml:space="preserve">], sunt supuse efectiv cerințelor de solvabilitate prevăzute de </w:t>
            </w:r>
            <w:r>
              <w:rPr>
                <w:rFonts w:ascii="Times New Roman" w:hAnsi="Times New Roman"/>
                <w:sz w:val="24"/>
              </w:rPr>
              <w:t xml:space="preserve">Regulamentul (UE) nr. 575/2013 </w:t>
            </w:r>
            <w:r>
              <w:rPr>
                <w:rStyle w:val="InstructionsTabelleText"/>
                <w:rFonts w:ascii="Times New Roman" w:hAnsi="Times New Roman"/>
                <w:sz w:val="24"/>
              </w:rPr>
              <w:t xml:space="preserve">sau altor dispoziții cel puțin echivalente cu dispozițiile Basel (este vorba de cazurile în care s-a înscris «da» în coloana 0030).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Trebuie să se includă informații despre toate instituțiile individuale dintr-un grup consolidat care sunt supuse cerințelor de fonduri proprii, indiferent de locul în care sunt situate. </w:t>
            </w:r>
          </w:p>
          <w:p w14:paraId="44903571" w14:textId="77777777" w:rsidR="00173F08" w:rsidRPr="002A677E" w:rsidRDefault="00173F08" w:rsidP="00822842">
            <w:pPr>
              <w:rPr>
                <w:rFonts w:ascii="Times New Roman" w:hAnsi="Times New Roman"/>
                <w:sz w:val="24"/>
              </w:rPr>
            </w:pPr>
            <w:r>
              <w:rPr>
                <w:rFonts w:ascii="Times New Roman" w:hAnsi="Times New Roman"/>
                <w:sz w:val="24"/>
              </w:rPr>
              <w:t>Informațiile raportate în această parte trebuie să reflecte normele de solvabilitate</w:t>
            </w:r>
            <w:r>
              <w:rPr>
                <w:rFonts w:ascii="Times New Roman" w:hAnsi="Times New Roman"/>
                <w:b/>
                <w:sz w:val="24"/>
              </w:rPr>
              <w:t xml:space="preserve"> </w:t>
            </w:r>
            <w:r>
              <w:rPr>
                <w:rFonts w:ascii="Times New Roman" w:hAnsi="Times New Roman"/>
                <w:sz w:val="24"/>
              </w:rPr>
              <w:t>din jurisdicția</w:t>
            </w:r>
            <w:r>
              <w:rPr>
                <w:rFonts w:ascii="Times New Roman" w:hAnsi="Times New Roman"/>
                <w:b/>
                <w:sz w:val="24"/>
              </w:rPr>
              <w:t xml:space="preserve"> </w:t>
            </w:r>
            <w:r>
              <w:rPr>
                <w:rFonts w:ascii="Times New Roman" w:hAnsi="Times New Roman"/>
                <w:sz w:val="24"/>
              </w:rPr>
              <w:t>în care instituția își desfășoară activitatea (prin urmare, pentru acest formular nu este necesar să se efectueze un calcul dublu pe bază individuală în conformitate cu normele instituției-mamă). Atunci când normele de solvabilitate locale diferă de dispozițiile Regulamentului (UE) nr. 575/2013 și nu este furnizată o defalcare comparabilă, informațiile trebuie completate în cazul în care sunt disponibile date în granularitatea respectivă. Prin urmare, această parte este un formular factual care sintetizează calculele pe care le realizează instituțiile individuale dintr-un grup, ținând în același timp cont de faptul că unele dintre aceste instituții pot face obiectul unor norme diferite de solvabilitate.</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Raportarea cheltuielilor generale fixe ale firmelor de investiții</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Firmele de investiții trebuie să includă cerințele de fonduri proprii aferente cheltuielilor generale fixe în calculul ratei fondurilor proprii în temeiul articolelor 95, 96, 97 și 98 </w:t>
            </w:r>
            <w:r>
              <w:rPr>
                <w:rFonts w:ascii="Times New Roman" w:hAnsi="Times New Roman"/>
                <w:sz w:val="24"/>
              </w:rPr>
              <w:t>din Regulamentul (UE) nr. 575/2013</w:t>
            </w:r>
            <w:r>
              <w:rPr>
                <w:rStyle w:val="InstructionsTabelleText"/>
                <w:rFonts w:ascii="Times New Roman" w:hAnsi="Times New Roman"/>
                <w:sz w:val="24"/>
              </w:rPr>
              <w:t>.</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Partea din cuantumul total al expunerii la risc aferentă cheltuielilor generale fixe trebuie raportată în coloana 0100 a acestui formular.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CUANTUMUL TOTAL AL EXPUNERII LA RISC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Se raportează suma coloanelor 0080-0110.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DIN CARE: AJUSTAREA LA PRAGUL MINIM (PRAGUL MINIM PRIVIND CERINȚELE DE CAPITAL TREA)</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Entitățile raportează ajustarea pragului minim calculată individual.</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RISCUL DE CREDIT; RISCUL DE CREDIT AL CONTRAPĂRȚII; RISCUL DE DIMINUARE A VALORII CREANȚEI, TRANZACȚIILE INCOMPLETE ȘI RISCUL DE DECONTARE/LIVRARE</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sumei cuantumurilor ponderate la risc ale expunerilor care sunt egale sau echivalente cu cele care trebuie raportate pe rândul 0040 «</w:t>
            </w:r>
            <w:r>
              <w:rPr>
                <w:rStyle w:val="InstructionsTabelleberschrift"/>
                <w:rFonts w:ascii="Times New Roman" w:hAnsi="Times New Roman"/>
                <w:sz w:val="24"/>
              </w:rPr>
              <w:t>CUANTUMURILE PONDERATE LA RISC ALE EXPUNERILOR</w:t>
            </w:r>
            <w:r>
              <w:rPr>
                <w:rStyle w:val="InstructionsTabelleText"/>
                <w:rFonts w:ascii="Times New Roman" w:hAnsi="Times New Roman"/>
                <w:sz w:val="24"/>
              </w:rPr>
              <w:t xml:space="preserve"> PENTRU RISCUL DE CREDIT, RISCUL DE CREDIT AL CONTRAPĂRȚII ȘI RISCUL DE DIMINUARE A VALORII CREANȚEI ȘI TRANZACȚIILE INCOMPLETE» și a cuantumurilor cerințelor de fonduri proprii care </w:t>
            </w:r>
            <w:r>
              <w:rPr>
                <w:rStyle w:val="InstructionsTabelleText"/>
                <w:rFonts w:ascii="Times New Roman" w:hAnsi="Times New Roman"/>
                <w:sz w:val="24"/>
              </w:rPr>
              <w:lastRenderedPageBreak/>
              <w:t>sunt egale sau echivalente cu cele care trebuie raportate pe rândul 0490 «CUANTUMUL TOTAL AL EXPUNERII LA RISC PENTRU RISCURILE DE DECONTARE/LIVRARE» din formularul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RISCURI DE PIAȚĂ</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cerințelor de fonduri proprii care sunt egale sau echivalente cu cele care trebuie să fie raportate pe rândul 0520 «CUANTUMUL TOTAL AL EXPUNERII LA RISC PENTRU OPERAȚIUNILE CARE PREZINTĂ UN RISC DE PIAȚĂ» din formularul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care este egal sau echivalent cu cel care trebuie să fie raportat pe rândul 0590 «CUANTUMUL TOTAL AL EXPUNERII LA RISC PENTRU RISCUL OPERAȚIONAL (OpR)» din formularul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Cheltuielile generale fixe se includ în această coloană, inclusiv rândul 0630 «CUANTUMUL SUPLIMENTAR AL EXPUNERII LA RISC DATORATE CHELTUIELILOR GENERALE FIXE» din formularul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ALTE CUANTUMURI ALE EXPUNERII LA RISC</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care nu este menționat în mod specific mai sus. Acesta trebuie să fie suma cuantumurilor raportate pe rândurile 0640, 0680 și 0690 din formularul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INFORMAȚII DETALIATE PRIVIND FONDURILE PROPRII PENTRU SOLVABILITATEA LA NIVEL DE GRUP</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Informațiile raportate în coloanele următoare trebuie să reflecte normele de solvabilitate din jurisdicția în care entitatea sau subgrupul își desfășoară activitatea.</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FONDURI PROPRII</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Cuantumul care trebuie raportat în această coloană corespunde cuantumului fondurilor proprii care sunt egale sau echivalente cu cele care trebuie să fie raportate pe rândul 0010 «FONDURI PROPRII» din formularul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ELIGIBILE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82 </w:t>
            </w:r>
            <w:r>
              <w:rPr>
                <w:rFonts w:ascii="Times New Roman" w:hAnsi="Times New Roman"/>
                <w:sz w:val="24"/>
              </w:rPr>
              <w:t xml:space="preserve">din Regulamentul (UE) nr.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Această coloană trebuie completată numai pentru filialele supuse raportării pe bază individuală care sunt consolidate prin metoda consolidării globale și care sunt instituții. </w:t>
            </w:r>
          </w:p>
          <w:p w14:paraId="1DFAED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Deținerile calificate sunt, pentru filialele specificate mai sus, instrumentele (cărora li se adaugă rezultatele reportate conexe, conturile de prime de emisiune și alte rezerve) deținute de alte persoane decât întreprinderile și incluse în </w:t>
            </w:r>
            <w:r>
              <w:rPr>
                <w:rFonts w:ascii="Times New Roman" w:hAnsi="Times New Roman"/>
                <w:sz w:val="24"/>
              </w:rPr>
              <w:t>perimetrul de consolidare al Regulamentului (UE) nr. 575/2013</w:t>
            </w:r>
            <w:r>
              <w:rPr>
                <w:rStyle w:val="InstructionsTabelleText"/>
                <w:rFonts w:ascii="Times New Roman" w:hAnsi="Times New Roman"/>
                <w:sz w:val="24"/>
              </w:rPr>
              <w:t>.</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raportării.</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CONEXE, REZULTATE REPORTATE CONEXE, CONTURI DE PRIME DE EMISIUNE ȘI ALTE REZERVE</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Articolul 87 alineatul (1) litera (b) </w:t>
            </w:r>
            <w:r>
              <w:rPr>
                <w:rFonts w:ascii="Times New Roman" w:hAnsi="Times New Roman"/>
                <w:sz w:val="24"/>
              </w:rPr>
              <w:t>din Regulamentul (UE) nr.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TOTAL FONDURI PROPRII DE NIVEL 1</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Articolul 25 </w:t>
            </w:r>
            <w:r>
              <w:rPr>
                <w:rFonts w:ascii="Times New Roman" w:hAnsi="Times New Roman"/>
                <w:sz w:val="24"/>
              </w:rPr>
              <w:t>din Regulamentul (UE) nr.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ELIGIBILE</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82 </w:t>
            </w:r>
            <w:r>
              <w:rPr>
                <w:rFonts w:ascii="Times New Roman" w:hAnsi="Times New Roman"/>
                <w:sz w:val="24"/>
              </w:rPr>
              <w:t>din Regulamentul (UE) nr.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Această coloană trebuie completată numai pentru filialele supuse raportării pe bază individuală care sunt consolidate prin metoda consolidării globale și care sunt instituții.</w:t>
            </w:r>
          </w:p>
          <w:p w14:paraId="0AF355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Deținerile calificate sunt, pentru filialele specificate mai sus, instrumentele (cărora li se adaugă rezultatele reportate conexe și conturile de prime de emisiune) deținute de alte persoane decât întreprinderile incluse în perimetrul de consolidare al </w:t>
            </w:r>
            <w:r>
              <w:rPr>
                <w:rFonts w:ascii="Times New Roman" w:hAnsi="Times New Roman"/>
                <w:sz w:val="24"/>
              </w:rPr>
              <w:t>Regulamentului (UE) nr. 575/2013</w:t>
            </w:r>
            <w:r>
              <w:rPr>
                <w:rStyle w:val="InstructionsTabelleText"/>
                <w:rFonts w:ascii="Times New Roman" w:hAnsi="Times New Roman"/>
                <w:sz w:val="24"/>
              </w:rPr>
              <w:t>.</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oricărei dispoziții tranzitorii. Acesta este cuantumul eligibil la data raportării.</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DE NIVEL 1 CONEXE, REZULTATE REPORTATE CONEXE ȘI CONTURI DE PRIME DE EMISIUNE</w:t>
            </w:r>
          </w:p>
          <w:p w14:paraId="0C52407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Articolul 85 alineatul (1) litera (b) </w:t>
            </w:r>
            <w:r>
              <w:rPr>
                <w:rFonts w:ascii="Times New Roman" w:hAnsi="Times New Roman"/>
                <w:sz w:val="24"/>
              </w:rPr>
              <w:t xml:space="preserve">din Regulamentul (UE) nr. 575/2013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FONDURI PROPRII DE NIVEL 1 DE BAZĂ</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Articolul 50 </w:t>
            </w:r>
            <w:r>
              <w:rPr>
                <w:rFonts w:ascii="Times New Roman" w:hAnsi="Times New Roman"/>
                <w:sz w:val="24"/>
              </w:rPr>
              <w:t>din Regulamentul (UE) nr.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DIN CARE: INTERESE MINORITARE</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81 </w:t>
            </w:r>
            <w:r>
              <w:rPr>
                <w:rFonts w:ascii="Times New Roman" w:hAnsi="Times New Roman"/>
                <w:sz w:val="24"/>
              </w:rPr>
              <w:t>din Regulamentul (UE) nr. 575/2013</w:t>
            </w:r>
          </w:p>
          <w:p w14:paraId="2D5B8BC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Această coloană trebuie raportată numai pentru filialele care sunt consolidate prin metoda consolidării globale și care sunt instituții, cu excepția filialelor menționate la articolul 84 alineatul (3) </w:t>
            </w:r>
            <w:r>
              <w:rPr>
                <w:rFonts w:ascii="Times New Roman" w:hAnsi="Times New Roman"/>
                <w:sz w:val="24"/>
              </w:rPr>
              <w:t>din Regulamentul (UE) nr. 575/2013</w:t>
            </w:r>
            <w:r>
              <w:rPr>
                <w:rStyle w:val="InstructionsTabelleText"/>
                <w:rFonts w:ascii="Times New Roman" w:hAnsi="Times New Roman"/>
                <w:sz w:val="24"/>
              </w:rPr>
              <w:t xml:space="preserve">. Fiecare filială trebuie să fie examinată pe bază subconsolidată pentru toate calculele necesare în temeiul articolului 84 </w:t>
            </w:r>
            <w:r>
              <w:rPr>
                <w:rFonts w:ascii="Times New Roman" w:hAnsi="Times New Roman"/>
                <w:sz w:val="24"/>
              </w:rPr>
              <w:t>din Regulamentul (UE) nr. 575/2013</w:t>
            </w:r>
            <w:r>
              <w:rPr>
                <w:rStyle w:val="InstructionsTabelleText"/>
                <w:rFonts w:ascii="Times New Roman" w:hAnsi="Times New Roman"/>
                <w:sz w:val="24"/>
              </w:rPr>
              <w:t>, dacă este cazul, în conformitate cu articolul 84 alineatul (2); în caz contrar, filialele trebuie examinate individual.</w:t>
            </w:r>
          </w:p>
          <w:p w14:paraId="2C0D816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Interesele minoritare sunt, pentru filialele specificate mai sus, instrumentele de fonduri proprii de nivel 1 de bază (cărora li se adaugă rezultatele reportate conexe și conturile de prime de emisiune) deținute de alte persoane decât întreprinderile incluse în perimetrul de consolidare al </w:t>
            </w:r>
            <w:r>
              <w:rPr>
                <w:rFonts w:ascii="Times New Roman" w:hAnsi="Times New Roman"/>
                <w:sz w:val="24"/>
              </w:rPr>
              <w:t>Regulamentului (UE) nr. 575/2013</w:t>
            </w:r>
            <w:r>
              <w:rPr>
                <w:rStyle w:val="InstructionsTabelleText"/>
                <w:rFonts w:ascii="Times New Roman" w:hAnsi="Times New Roman"/>
                <w:sz w:val="24"/>
              </w:rPr>
              <w:t>.</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raportării.</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CONEXE, REZULTATE REPORTATE CONEXE, CONTURI DE PRIME DE EMISIUNE ȘI ALTE REZERVE</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lastRenderedPageBreak/>
              <w:t xml:space="preserve">Articolul 84 alineatul (1) litera (b) </w:t>
            </w:r>
            <w:r>
              <w:rPr>
                <w:rFonts w:ascii="Times New Roman" w:hAnsi="Times New Roman"/>
                <w:sz w:val="24"/>
              </w:rPr>
              <w:t>din Regulamentul (UE) nr.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FONDURI PROPRII DE NIVEL 1 SUPLIMENTAR</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Articolul 61 </w:t>
            </w:r>
            <w:r>
              <w:rPr>
                <w:rFonts w:ascii="Times New Roman" w:hAnsi="Times New Roman"/>
                <w:sz w:val="24"/>
              </w:rPr>
              <w:t>din Regulamentul (UE) nr.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SUPLIMENTAR ELIGIBILE</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Articolele 82 și 83 </w:t>
            </w:r>
            <w:r>
              <w:rPr>
                <w:rFonts w:ascii="Times New Roman" w:hAnsi="Times New Roman"/>
                <w:sz w:val="24"/>
              </w:rPr>
              <w:t>din Regulamentul (UE) nr. 575/2013</w:t>
            </w:r>
          </w:p>
          <w:p w14:paraId="55F852A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Această coloană trebuie prezentată numai pentru filialele care sunt consolidate prin metoda consolidării globale și care sunt instituții, cu excepția filialelor menționate la articolul 85 alineatul (2) </w:t>
            </w:r>
            <w:r>
              <w:rPr>
                <w:rFonts w:ascii="Times New Roman" w:hAnsi="Times New Roman"/>
                <w:sz w:val="24"/>
              </w:rPr>
              <w:t>din Regulamentul (UE) nr. 575/2013</w:t>
            </w:r>
            <w:r>
              <w:rPr>
                <w:rStyle w:val="InstructionsTabelleText"/>
                <w:rFonts w:ascii="Times New Roman" w:hAnsi="Times New Roman"/>
                <w:sz w:val="24"/>
              </w:rPr>
              <w:t xml:space="preserve">. Fiecare filială trebuie să fie examinată pe bază subconsolidată pentru toate calculele necesare în temeiul articolului 85 </w:t>
            </w:r>
            <w:r>
              <w:rPr>
                <w:rFonts w:ascii="Times New Roman" w:hAnsi="Times New Roman"/>
                <w:sz w:val="24"/>
              </w:rPr>
              <w:t>din Regulamentul (UE) nr. 575/2013</w:t>
            </w:r>
            <w:r>
              <w:rPr>
                <w:rStyle w:val="InstructionsTabelleText"/>
                <w:rFonts w:ascii="Times New Roman" w:hAnsi="Times New Roman"/>
                <w:sz w:val="24"/>
              </w:rPr>
              <w:t>, dacă este cazul, în conformitate cu articolul 85 alineatul (2); în caz contrar, filialele trebuie examinate individual.</w:t>
            </w:r>
          </w:p>
          <w:p w14:paraId="32886E9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Interesele minoritare sunt, pentru filialele specificate mai sus, instrumentele de fonduri proprii de nivel 1 suplimentar (cărora li se adaugă rezultatele reportate conexe și conturile de prime de emisiune) deținute de alte persoane decât întreprinderile incluse în perimetrul de consolidare al </w:t>
            </w:r>
            <w:r>
              <w:rPr>
                <w:rFonts w:ascii="Times New Roman" w:hAnsi="Times New Roman"/>
                <w:sz w:val="24"/>
              </w:rPr>
              <w:t>Regulamentului (UE) nr. 575/2013</w:t>
            </w:r>
            <w:r>
              <w:rPr>
                <w:rStyle w:val="InstructionsTabelleText"/>
                <w:rFonts w:ascii="Times New Roman" w:hAnsi="Times New Roman"/>
                <w:sz w:val="24"/>
              </w:rPr>
              <w:t>.</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raportării.</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FONDURI PROPRII DE NIVEL 2</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Articolul 71 </w:t>
            </w:r>
            <w:r>
              <w:rPr>
                <w:rFonts w:ascii="Times New Roman" w:hAnsi="Times New Roman"/>
                <w:sz w:val="24"/>
              </w:rPr>
              <w:t>din Regulamentul (UE) nr.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2 ELIGIBILE</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Articolele 82 și 83 </w:t>
            </w:r>
            <w:r>
              <w:rPr>
                <w:rFonts w:ascii="Times New Roman" w:hAnsi="Times New Roman"/>
                <w:sz w:val="24"/>
              </w:rPr>
              <w:t>din Regulamentul (UE) nr. 575/2013</w:t>
            </w:r>
          </w:p>
          <w:p w14:paraId="4ADB58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Această coloană trebuie prezentată numai pentru filialele care sunt consolidate prin metoda consolidării globale și care sunt instituții, cu excepția filialelor menționate la articolul 87 alineatul (2) </w:t>
            </w:r>
            <w:r>
              <w:rPr>
                <w:rFonts w:ascii="Times New Roman" w:hAnsi="Times New Roman"/>
                <w:sz w:val="24"/>
              </w:rPr>
              <w:t>din Regulamentul (UE) nr. 575/2013</w:t>
            </w:r>
            <w:r>
              <w:rPr>
                <w:rStyle w:val="InstructionsTabelleText"/>
                <w:rFonts w:ascii="Times New Roman" w:hAnsi="Times New Roman"/>
                <w:sz w:val="24"/>
              </w:rPr>
              <w:t xml:space="preserve">. Fiecare filială trebuie să fie examinată pe bază subconsolidată pentru toate calculele necesare în temeiul articolului 87 </w:t>
            </w:r>
            <w:r>
              <w:rPr>
                <w:rFonts w:ascii="Times New Roman" w:hAnsi="Times New Roman"/>
                <w:sz w:val="24"/>
              </w:rPr>
              <w:t>din Regulamentul (UE) nr. 575/2013</w:t>
            </w:r>
            <w:r>
              <w:rPr>
                <w:rStyle w:val="InstructionsTabelleText"/>
                <w:rFonts w:ascii="Times New Roman" w:hAnsi="Times New Roman"/>
                <w:sz w:val="24"/>
              </w:rPr>
              <w:t xml:space="preserve">, dacă este cazul, în conformitate cu articolul 87 alineatul (2) </w:t>
            </w:r>
            <w:r>
              <w:rPr>
                <w:rFonts w:ascii="Times New Roman" w:hAnsi="Times New Roman"/>
                <w:sz w:val="24"/>
              </w:rPr>
              <w:t>din regulamentul respectiv</w:t>
            </w:r>
            <w:r>
              <w:rPr>
                <w:rStyle w:val="InstructionsTabelleText"/>
                <w:rFonts w:ascii="Times New Roman" w:hAnsi="Times New Roman"/>
                <w:sz w:val="24"/>
              </w:rPr>
              <w:t xml:space="preserve">; în caz contrar, filialele trebuie examinate individual. </w:t>
            </w:r>
          </w:p>
          <w:p w14:paraId="5BE2C85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Interesele minoritare sunt, pentru filialele specificate mai sus, instrumentele de fonduri proprii de nivel 2 (cărora li se adaugă rezultatele reportate conexe și conturile de prime de emisiune) deținute de alte persoane decât întreprinderile incluse în perimetrul de consolidare al </w:t>
            </w:r>
            <w:r>
              <w:rPr>
                <w:rFonts w:ascii="Times New Roman" w:hAnsi="Times New Roman"/>
                <w:sz w:val="24"/>
              </w:rPr>
              <w:t>Regulamentului (UE) nr. 575/2013</w:t>
            </w:r>
            <w:r>
              <w:rPr>
                <w:rStyle w:val="InstructionsTabelleText"/>
                <w:rFonts w:ascii="Times New Roman" w:hAnsi="Times New Roman"/>
                <w:sz w:val="24"/>
              </w:rPr>
              <w:t>.</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de referință.</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INFORMAȚII PRIVIND CONTRIBUȚIA ENTITĂȚILOR LA SOLVABILITATEA GRUPULUI</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CONTRIBUȚIA LA RISCURI</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Informațiile raportate în coloanele următoare trebuie să respecte normele de solvabilitate aplicabile instituției raportoare.</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CUANTUMUL TOTAL AL EXPUNERII LA RISC</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Se raportează suma coloanelor 0260-0290.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RISCUL DE CREDIT; RISCUL DE CREDIT AL CONTRAPĂRȚII; RISCUL DE DIMINUARE A VALORII CREANȚEI, TRANZACȚIILE INCOMPLETE ȘI RISCUL DE DECONTARE/LIVRARE</w:t>
            </w:r>
          </w:p>
          <w:p w14:paraId="6F46A7C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se compune din cuantumurile ponderate la riscul de credit ale expunerilor și ale cerințelor de fonduri proprii pentru riscul de decontare/livrare în conformitate cu </w:t>
            </w:r>
            <w:r>
              <w:rPr>
                <w:rFonts w:ascii="Times New Roman" w:hAnsi="Times New Roman"/>
                <w:sz w:val="24"/>
              </w:rPr>
              <w:t>Regulamentul (UE) nr. 575/2013</w:t>
            </w:r>
            <w:r>
              <w:rPr>
                <w:rStyle w:val="InstructionsTabelleText"/>
                <w:rFonts w:ascii="Times New Roman" w:hAnsi="Times New Roman"/>
                <w:sz w:val="24"/>
              </w:rPr>
              <w:t>, excluzându-se orice cuantum legat de tranzacțiile realizate cu alte entități incluse în calculul ratei de solvabilitate consolidate la nivel de grup.</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RISCURI DE PIAȚĂ</w:t>
            </w:r>
          </w:p>
          <w:p w14:paraId="49127EF1" w14:textId="7F527EA0"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Cuantumurile expunerilor la riscurile de piață trebuie calculate la nivelul fiecărei entități în conformitate cu </w:t>
            </w:r>
            <w:r>
              <w:rPr>
                <w:rFonts w:ascii="Times New Roman" w:hAnsi="Times New Roman"/>
                <w:sz w:val="24"/>
              </w:rPr>
              <w:t>Regulamentul (UE) nr. 575/2013</w:t>
            </w:r>
            <w:r>
              <w:rPr>
                <w:rStyle w:val="InstructionsTabelleText"/>
                <w:rFonts w:ascii="Times New Roman" w:hAnsi="Times New Roman"/>
                <w:sz w:val="24"/>
              </w:rPr>
              <w:t>. Entitățile raportează contribuția la cuantumurile totale ale expunerilor la risc pentru riscul de piață al grupului. Suma cuantumurilor raportate aici trebuie să corespundă cuantumului înregistrat pe rândul 0520 «CUANTUMUL TOTAL AL EXPUNERII LA RISC PENTRU OPERAȚIUNILE CARE PREZINTĂ UN RISC DE PIAȚĂ» din raportul</w:t>
            </w:r>
            <w:r w:rsidR="00EF4006">
              <w:rPr>
                <w:rStyle w:val="InstructionsTabelleText"/>
                <w:rFonts w:ascii="Times New Roman" w:hAnsi="Times New Roman"/>
                <w:sz w:val="24"/>
              </w:rPr>
              <w:t xml:space="preserve"> </w:t>
            </w:r>
            <w:r>
              <w:t>consolidat</w:t>
            </w:r>
            <w:r>
              <w:rPr>
                <w:rStyle w:val="InstructionsTabelleText"/>
                <w:rFonts w:ascii="Times New Roman" w:hAnsi="Times New Roman"/>
                <w:sz w:val="24"/>
              </w:rPr>
              <w:t>.</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58C1AE53" w14:textId="2055313A" w:rsidR="00702B2E" w:rsidRPr="00702B2E" w:rsidRDefault="00702B2E" w:rsidP="00822842">
            <w:pPr>
              <w:rPr>
                <w:rFonts w:ascii="Times New Roman" w:hAnsi="Times New Roman"/>
                <w:sz w:val="24"/>
              </w:rPr>
            </w:pPr>
            <w:r>
              <w:rPr>
                <w:rFonts w:ascii="Times New Roman" w:hAnsi="Times New Roman"/>
                <w:sz w:val="24"/>
              </w:rPr>
              <w:t>Cuantumul care trebuie raportat în această coloană corespunde cuantumului expunerii la risc pentru riscul operațional.</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caps/>
                <w:sz w:val="24"/>
              </w:rPr>
              <w:t>Cheltuielile</w:t>
            </w:r>
            <w:r>
              <w:rPr>
                <w:rFonts w:ascii="Times New Roman" w:hAnsi="Times New Roman"/>
                <w:sz w:val="24"/>
              </w:rPr>
              <w:t xml:space="preserve"> generale fixe trebuie incluse în această coloană.</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ALTE CUANTUMURI ALE EXPUNERII LA RISC</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pentru alte riscuri decât cele enumerate mai sus.</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CONTRIBUȚIA LA FONDURILE PROPRII</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Această parte a formularului nu este menită să impună instituțiilor să efectueze un calcul complet al ratei fondurilor proprii totale la nivelul fiecărei entități.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Coloanele 0300-0350 se raportează pentru entitățile consolidate care contribuie la fondurile proprii prin interese minoritare, fonduri proprii de nivel 1 eligibile sau fonduri proprii eligibile. Sub rezerva pragului menționat în partea II capitolul 2.3 ultimul punct de mai sus, coloanele 0360-0400 se raportează pentru toate entitățile consolidate care contribuie la fondurile proprii consolidate.</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Fondurile proprii adăugate unei entități de către restul entităților incluse în perimetrul entității raportoare nu trebuie să fie luate în considerare. Numai contribuția netă la fondurile proprii ale grupului trebuie raportată în această coloană (în principal fondurile proprii colectate de la părți terțe și rezervele acumulate).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Informațiile raportate în coloanele următoare trebuie să respecte normele de solvabilitate aplicabile instituției raportoare.</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FONDURI PROPRII ELIGIBILE INCLUSE ÎN FONDURILE PROPRII CONSOLIDATE</w:t>
            </w:r>
          </w:p>
          <w:p w14:paraId="7830B88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Cuantumul care trebuie raportat drept «FONDURI PROPRII ELIGIBILE INCLUSE ÎN FONDURILE PROPRII CONSOLIDATE» este cuantumul care rezultă din partea a doua titlul II </w:t>
            </w:r>
            <w:r>
              <w:rPr>
                <w:rFonts w:ascii="Times New Roman" w:hAnsi="Times New Roman"/>
                <w:sz w:val="24"/>
              </w:rPr>
              <w:t>din Regulamentul (UE) nr. 575/2013</w:t>
            </w:r>
            <w:r>
              <w:rPr>
                <w:rStyle w:val="InstructionsTabelleText"/>
                <w:rFonts w:ascii="Times New Roman" w:hAnsi="Times New Roman"/>
                <w:sz w:val="24"/>
              </w:rPr>
              <w:t>, excluzându-se orice fond cu care contribuie alte entități ale grupului.</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FONDURI PROPRII ELIGIBILE INCLUSE ÎN FONDURILE PROPRII CONSOLIDATE</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87 </w:t>
            </w:r>
            <w:r>
              <w:rPr>
                <w:rFonts w:ascii="Times New Roman" w:hAnsi="Times New Roman"/>
                <w:sz w:val="24"/>
              </w:rPr>
              <w:t>din Regulamentul (UE) nr.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INSTRUMENTE DE FONDURI PROPRII DE NIVEL 1 ELIGIBILE INCLUSE ÎN FONDURILE PROPRII DE NIVEL 1 CONSOLIDATE</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85 </w:t>
            </w:r>
            <w:r>
              <w:rPr>
                <w:rFonts w:ascii="Times New Roman" w:hAnsi="Times New Roman"/>
                <w:sz w:val="24"/>
              </w:rPr>
              <w:t>din Regulamentul (UE) nr.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INTERESE MINORITARE INCLUSE ÎN</w:t>
            </w:r>
            <w:r>
              <w:rPr>
                <w:rStyle w:val="InstructionsTabelleberschrift"/>
                <w:rFonts w:ascii="Times New Roman" w:hAnsi="Times New Roman"/>
                <w:sz w:val="24"/>
              </w:rPr>
              <w:br/>
              <w:t>FONDURILE PROPRII DE NIVEL 1 DE BAZĂ CONSOLIDATE</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84 </w:t>
            </w:r>
            <w:r>
              <w:rPr>
                <w:rFonts w:ascii="Times New Roman" w:hAnsi="Times New Roman"/>
                <w:sz w:val="24"/>
              </w:rPr>
              <w:t>din Regulamentul (UE) nr. 575/2013</w:t>
            </w:r>
          </w:p>
          <w:p w14:paraId="01FA0CD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Cuantumul care trebuie raportat este cuantumul intereselor minoritare ale unei filiale inclus în fondurile proprii de nivel 1 de bază consolidate în conformitate cu</w:t>
            </w:r>
            <w:r>
              <w:rPr>
                <w:rFonts w:ascii="Times New Roman" w:hAnsi="Times New Roman"/>
                <w:sz w:val="24"/>
              </w:rPr>
              <w:t xml:space="preserve"> Regulamentul (UE) nr.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INSTRUMENTE DE FONDURI PROPRII DE NIVEL 1 ELIGIBILE INCLUSE ÎN FONDURILE PROPRII DE NIVEL 1 SUPLIMENTAR CONSOLIDATE</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86 </w:t>
            </w:r>
            <w:r>
              <w:rPr>
                <w:rFonts w:ascii="Times New Roman" w:hAnsi="Times New Roman"/>
                <w:sz w:val="24"/>
              </w:rPr>
              <w:t>din Regulamentul (UE) nr. 575/2013</w:t>
            </w:r>
          </w:p>
          <w:p w14:paraId="14D60AC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fondurilor proprii de nivel 1 eligibile ale unei filiale inclus în fondurile proprii de nivel 1 suplimentar consolidate în conformitate cu </w:t>
            </w:r>
            <w:r>
              <w:rPr>
                <w:rFonts w:ascii="Times New Roman" w:hAnsi="Times New Roman"/>
                <w:sz w:val="24"/>
              </w:rPr>
              <w:t>Regulamentul (UE) nr.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INSTRUMENTE DE FONDURI PROPRII ELIGIBILE INCLUSE ÎN</w:t>
            </w:r>
            <w:r>
              <w:rPr>
                <w:rStyle w:val="InstructionsTabelleberschrift"/>
                <w:rFonts w:ascii="Times New Roman" w:hAnsi="Times New Roman"/>
                <w:sz w:val="24"/>
              </w:rPr>
              <w:br/>
              <w:t>FONDURILE PROPRII DE NIVEL 2 CONSOLIDATE</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88 </w:t>
            </w:r>
            <w:r>
              <w:rPr>
                <w:rFonts w:ascii="Times New Roman" w:hAnsi="Times New Roman"/>
                <w:sz w:val="24"/>
              </w:rPr>
              <w:t>din Regulamentul (UE) nr. 575/2013</w:t>
            </w:r>
          </w:p>
          <w:p w14:paraId="257F78A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fondurilor proprii eligibile ale unei filiale inclus în fondurile proprii de nivel 2 consolidate în conformitate cu </w:t>
            </w:r>
            <w:r>
              <w:rPr>
                <w:rFonts w:ascii="Times New Roman" w:hAnsi="Times New Roman"/>
                <w:sz w:val="24"/>
              </w:rPr>
              <w:t>Regulamentul (UE) nr.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ELEMENT MEMORANDUM: (-) FOND COMERCIAL/(+) FOND COMERCIAL NEGATIV</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FONDURI PROPRII CONSOLIDATE</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18 </w:t>
            </w:r>
            <w:r>
              <w:rPr>
                <w:rFonts w:ascii="Times New Roman" w:hAnsi="Times New Roman"/>
                <w:sz w:val="24"/>
              </w:rPr>
              <w:t>din Regulamentul (UE) nr.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Cuantumul care trebuie raportat drept «FONDURI PROPRII CONSOLIDATE» este cuantumul care rezultă din bilanț, excluzându-se orice fond cu care contribuie alte entități ale grupului.</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lastRenderedPageBreak/>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FONDURI PROPRII CONSOLIDATE</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DE BAZĂ</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SUPLIMENTAR</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DIN CARE: CONTRIBUȚII LA REZULTATUL CONSOLIDAT</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Se raportează contribuția fiecărei entități la rezultatul consolidat [profit sau pierdere (-)]. Aceasta include rezultatele care li se pot atribui intereselor minoritare.</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DIN CARE: (-) FOND COMERCIAL/(+) FOND COMERCIAL NEGATIV</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Aici se înregistrează fondul comercial sau fondul comercial negativ al entității raportoare în raport cu filiala.</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AMORTIZOARE DE CAPITAL</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Structura raportării amortizoarelor de capital pentru formularul GS urmează structura generală a formularului CA4, utilizând aceleași concepte de raportare. Atunci când se raportează amortizoarele de capital pentru formularul GS, cuantumurile relevante se raportează în conformitate cu dispozițiile aplicabile pentru determinarea cerinței privind amortizorul de capital pentru situația consolidată a grupului. Prin urmare, cuantumurile amortizoarelor de capital raportate reprezintă contribuția fiecărei entități la amortizoarele de capital ale grupului. Cuantumurile raportate se bazează pe măsurile naționale de transpunere a</w:t>
            </w:r>
            <w:r w:rsidRPr="00EF4006">
              <w:rPr>
                <w:rStyle w:val="InstructionsTabelleberschrift"/>
                <w:rFonts w:ascii="Times New Roman" w:hAnsi="Times New Roman"/>
                <w:sz w:val="24"/>
                <w:u w:val="none"/>
              </w:rPr>
              <w:t xml:space="preserve"> </w:t>
            </w:r>
            <w:r>
              <w:rPr>
                <w:rFonts w:ascii="Times New Roman" w:hAnsi="Times New Roman"/>
                <w:sz w:val="24"/>
              </w:rPr>
              <w:t>Directivei 2013/36/UE</w:t>
            </w:r>
            <w:r w:rsidRPr="00EF4006">
              <w:rPr>
                <w:rStyle w:val="InstructionsTabelleberschrift"/>
                <w:rFonts w:ascii="Times New Roman" w:hAnsi="Times New Roman"/>
                <w:sz w:val="24"/>
                <w:u w:val="none"/>
              </w:rPr>
              <w:t xml:space="preserve"> </w:t>
            </w:r>
            <w:r>
              <w:rPr>
                <w:rStyle w:val="InstructionsTabelleberschrift"/>
                <w:rFonts w:ascii="Times New Roman" w:hAnsi="Times New Roman"/>
                <w:sz w:val="24"/>
              </w:rPr>
              <w:t>și a</w:t>
            </w:r>
            <w:r>
              <w:rPr>
                <w:rFonts w:ascii="Times New Roman" w:hAnsi="Times New Roman"/>
                <w:sz w:val="24"/>
              </w:rPr>
              <w:t xml:space="preserve"> Regulamentului (UE) nr. 575/2013</w:t>
            </w:r>
            <w:r>
              <w:rPr>
                <w:rStyle w:val="InstructionsTabelleberschrift"/>
                <w:rFonts w:ascii="Times New Roman" w:hAnsi="Times New Roman"/>
                <w:sz w:val="24"/>
              </w:rPr>
              <w:t>, inclusiv orice dispoziții tranzitorii prevăzute de acestea.</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CERINȚA DE AMORTIZOR COMBINAT</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Articolul 128 punctul 6 </w:t>
            </w:r>
            <w:r>
              <w:rPr>
                <w:rFonts w:ascii="Times New Roman" w:hAnsi="Times New Roman"/>
                <w:sz w:val="24"/>
              </w:rPr>
              <w:t>din Directiva 2013/36/UE</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AMORTIZORUL DE CONSERVARE A CAPITALULUI</w:t>
            </w:r>
          </w:p>
          <w:p w14:paraId="5DD283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128 punctul 1 și articolul 129 </w:t>
            </w:r>
            <w:r>
              <w:rPr>
                <w:rFonts w:ascii="Times New Roman" w:hAnsi="Times New Roman"/>
                <w:sz w:val="24"/>
              </w:rPr>
              <w:t>din Directiva 2013/36/UE</w:t>
            </w:r>
          </w:p>
          <w:p w14:paraId="7013CF4E" w14:textId="77777777" w:rsidR="00173F08" w:rsidRPr="002A677E" w:rsidRDefault="00173F08" w:rsidP="00822842">
            <w:pPr>
              <w:pStyle w:val="InstructionsText"/>
              <w:rPr>
                <w:rStyle w:val="InstructionsTabelleText"/>
              </w:rPr>
            </w:pPr>
            <w:r>
              <w:t>În conformitate cu articolul 129 alineatul (1) din Directiva 2013/36/UE, amortizorul de conservare a capitalului este un cuantum suplimentar de fonduri proprii de nivel 1 de bază. Datorită faptului că rata de 2,5 % a amortizorului de conservare a capitalului este stabilă, în această celulă trebuie raportat un cuantum.</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AMORTIZORUL ANTICICLIC DE CAPITAL SPECIFIC INSTITUȚIEI</w:t>
            </w:r>
          </w:p>
          <w:p w14:paraId="38A1148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Articolul 128 punctul 2 și articolele 130 și 135-140 </w:t>
            </w:r>
            <w:r>
              <w:rPr>
                <w:rFonts w:ascii="Times New Roman" w:hAnsi="Times New Roman"/>
                <w:sz w:val="24"/>
              </w:rPr>
              <w:t>din Directiva 2013/36/UE</w:t>
            </w:r>
          </w:p>
          <w:p w14:paraId="169D829F" w14:textId="77777777" w:rsidR="00173F08" w:rsidRPr="002A677E" w:rsidRDefault="00173F08" w:rsidP="00822842">
            <w:pPr>
              <w:pStyle w:val="InstructionsText"/>
              <w:rPr>
                <w:rStyle w:val="InstructionsTabelleText"/>
              </w:rPr>
            </w:pPr>
            <w:r>
              <w:t>În această celulă se raportează cuantumul concret al amortizorului anticiclic.</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AMORTIZORUL DE CONSERVARE AFERENT RISCULUI MACROPRUDENȚIAL SAU SISTEMIC IDENTIFICAT LA NIVELUL UNUI STAT MEMBRU</w:t>
            </w:r>
          </w:p>
          <w:p w14:paraId="0EC165D1"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Articolul 458 alineatul (2) litera (d) punctul (iv) </w:t>
            </w:r>
            <w:r>
              <w:rPr>
                <w:rFonts w:ascii="Times New Roman" w:hAnsi="Times New Roman"/>
                <w:sz w:val="24"/>
              </w:rPr>
              <w:t>din Regulamentul (UE) nr. 575/2013</w:t>
            </w:r>
          </w:p>
          <w:p w14:paraId="2C6BA8FE" w14:textId="77777777" w:rsidR="00173F08" w:rsidRPr="002A677E" w:rsidRDefault="00173F08" w:rsidP="00822842">
            <w:pPr>
              <w:pStyle w:val="InstructionsText"/>
              <w:rPr>
                <w:rStyle w:val="InstructionsTabelleberschrift"/>
              </w:rPr>
            </w:pPr>
            <w:r>
              <w:t xml:space="preserve">În această celulă se raportează cuantumul amortizorului de conservare aferent riscului macroprudențial sau sistemic identificat la nivelul unui stat membru, care </w:t>
            </w:r>
            <w:r>
              <w:lastRenderedPageBreak/>
              <w:t>poate fi impus în conformitate cu articolul 458 din Regulamentul (UE) nr. 575/2013 în plus față de amortizorul de conservare a capitalului.</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AMORTIZORUL DE RISC SISTEMIC</w:t>
            </w:r>
          </w:p>
          <w:p w14:paraId="409112BD" w14:textId="77777777" w:rsidR="00173F08" w:rsidRPr="002A677E" w:rsidRDefault="00173F08" w:rsidP="00822842">
            <w:pPr>
              <w:pStyle w:val="InstructionsText"/>
            </w:pPr>
            <w:r>
              <w:t xml:space="preserve">Articolul 128 punctul 5 și articolele 133 și 134 din Directiva 2013/36/UE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În această celulă se raportează cuantumul amortizorului de risc sistemic.</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6E4620C5"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AMORTIZORUL INSTITUȚIILOR GLOBALE DE IMPORTANȚĂ SISTEMICĂ</w:t>
            </w:r>
          </w:p>
          <w:p w14:paraId="530093DF" w14:textId="77777777" w:rsidR="00173F08" w:rsidRPr="002A677E" w:rsidRDefault="00173F08" w:rsidP="00822842">
            <w:pPr>
              <w:pStyle w:val="InstructionsText"/>
              <w:rPr>
                <w:rStyle w:val="InstructionsTabelleberschrift"/>
                <w:b w:val="0"/>
              </w:rPr>
            </w:pPr>
            <w:r>
              <w:rPr>
                <w:rStyle w:val="InstructionsTabelleberschrift"/>
              </w:rPr>
              <w:t xml:space="preserve">Articolul 128 punctul 3 și articolul 131 </w:t>
            </w:r>
            <w:r>
              <w:t>din Directiva 2013/36/UE</w:t>
            </w:r>
          </w:p>
          <w:p w14:paraId="5835A3FB" w14:textId="77777777" w:rsidR="00173F08" w:rsidRPr="002A677E" w:rsidRDefault="00173F08" w:rsidP="00822842">
            <w:pPr>
              <w:pStyle w:val="InstructionsText"/>
              <w:rPr>
                <w:rStyle w:val="InstructionsTabelleberschrift"/>
              </w:rPr>
            </w:pPr>
            <w:r>
              <w:t>În această celulă se raportează cuantumul amortizorului instituțiilor globale de importanță sistemică.</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1364064D"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AMORTIZORUL ALTOR INSTITUȚII DE IMPORTANȚĂ SISTEMICĂ</w:t>
            </w:r>
          </w:p>
          <w:p w14:paraId="5C91FC01" w14:textId="77777777" w:rsidR="00173F08" w:rsidRPr="002A677E" w:rsidRDefault="00173F08" w:rsidP="00822842">
            <w:pPr>
              <w:pStyle w:val="InstructionsText"/>
            </w:pPr>
            <w:r>
              <w:t>Articolul 128 punctul 4 și articolul 131 din Directiva 2013/36/UE</w:t>
            </w:r>
          </w:p>
          <w:p w14:paraId="677D9498" w14:textId="77777777" w:rsidR="00173F08" w:rsidRPr="002A677E" w:rsidRDefault="00173F08" w:rsidP="00822842">
            <w:pPr>
              <w:pStyle w:val="InstructionsText"/>
              <w:rPr>
                <w:rStyle w:val="InstructionsTabelleberschrift"/>
              </w:rPr>
            </w:pPr>
            <w:r>
              <w:t>În această celulă se raportează cuantumul amortizorului altor instituții de importanță sistemică.”</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72D82"/>
    <w:rsid w:val="00780E9B"/>
    <w:rsid w:val="009871DF"/>
    <w:rsid w:val="00A6002C"/>
    <w:rsid w:val="00A70706"/>
    <w:rsid w:val="00AE3925"/>
    <w:rsid w:val="00B44A0E"/>
    <w:rsid w:val="00B71F25"/>
    <w:rsid w:val="00BF2D9E"/>
    <w:rsid w:val="00C61CB8"/>
    <w:rsid w:val="00E26A90"/>
    <w:rsid w:val="00EF07A1"/>
    <w:rsid w:val="00EF4006"/>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81C2E5-737C-4AE8-A9CD-6BC001049672}"/>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D1A1E76-5781-4102-A68F-1ECF8D7CB28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4848</Words>
  <Characters>25889</Characters>
  <Application>Microsoft Office Word</Application>
  <DocSecurity>0</DocSecurity>
  <Lines>602</Lines>
  <Paragraphs>394</Paragraphs>
  <ScaleCrop>false</ScaleCrop>
  <Company/>
  <LinksUpToDate>false</LinksUpToDate>
  <CharactersWithSpaces>30343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2025-01-24T12:40:11Z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420dd3f4-7113-4e83-8235-352676073767</vt:lpwstr>
  </property>
  <property fmtid="{D5CDD505-2E9C-101B-9397-08002B2CF9AE}" pid="10" name="MSIP_Label_6bd9ddd1-4d20-43f6-abfa-fc3c07406f94_ContentBits">
    <vt:lpwstr>0</vt:lpwstr>
  </property>
</Properties>
</file>